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footer2.xml" ContentType="application/vnd.openxmlformats-officedocument.wordprocessingml.footer+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08F" w:rsidRDefault="003D708F" w:rsidP="007B7205">
      <w:pPr>
        <w:jc w:val="center"/>
        <w:rPr>
          <w:b/>
        </w:rPr>
      </w:pPr>
      <w:r>
        <w:rPr>
          <w:b/>
        </w:rPr>
        <w:t>The Identity Theory in 2-D</w:t>
      </w:r>
    </w:p>
    <w:p w:rsidR="003D708F" w:rsidRDefault="003D708F" w:rsidP="007B7205">
      <w:pPr>
        <w:spacing w:line="480" w:lineRule="auto"/>
        <w:jc w:val="both"/>
      </w:pPr>
    </w:p>
    <w:p w:rsidR="00486B50" w:rsidRDefault="003274E2" w:rsidP="00486B50">
      <w:pPr>
        <w:spacing w:line="480" w:lineRule="auto"/>
        <w:ind w:firstLine="720"/>
        <w:jc w:val="both"/>
      </w:pPr>
      <w:r>
        <w:t>Twenty years ago the t</w:t>
      </w:r>
      <w:r w:rsidR="00D3789E">
        <w:t xml:space="preserve">ype-type </w:t>
      </w:r>
      <w:r>
        <w:t xml:space="preserve">mind-brain identity theory looked dead in the water. It had suffered tremendous blows from the arguments of Putnam (Putnam </w:t>
      </w:r>
      <w:r w:rsidR="004C3AE9">
        <w:t>1967</w:t>
      </w:r>
      <w:r>
        <w:t xml:space="preserve">), </w:t>
      </w:r>
      <w:proofErr w:type="spellStart"/>
      <w:r>
        <w:t>Kripke</w:t>
      </w:r>
      <w:proofErr w:type="spellEnd"/>
      <w:r>
        <w:t xml:space="preserve"> (</w:t>
      </w:r>
      <w:proofErr w:type="spellStart"/>
      <w:r>
        <w:t>Kripke</w:t>
      </w:r>
      <w:proofErr w:type="spellEnd"/>
      <w:r>
        <w:t xml:space="preserve"> 1980), and Fodor (Fodor 1974). </w:t>
      </w:r>
      <w:r w:rsidR="0069245E">
        <w:t>From our vantage point now we can see that things are not as bad as they first appeared and t</w:t>
      </w:r>
      <w:r w:rsidR="003D708F" w:rsidRPr="003D708F">
        <w:t xml:space="preserve">he identity theory </w:t>
      </w:r>
      <w:r w:rsidR="005C3717">
        <w:t xml:space="preserve">has enjoyed a surge of interest </w:t>
      </w:r>
      <w:r w:rsidR="003D708F" w:rsidRPr="003D708F">
        <w:t>in the wake of</w:t>
      </w:r>
      <w:r w:rsidR="005C3717">
        <w:t xml:space="preserve"> recent</w:t>
      </w:r>
      <w:r w:rsidR="003D708F" w:rsidRPr="003D708F">
        <w:t xml:space="preserve"> work by people like </w:t>
      </w:r>
      <w:r w:rsidR="000F4158" w:rsidRPr="003D708F">
        <w:t>Chris Hill</w:t>
      </w:r>
      <w:r w:rsidR="000F4158">
        <w:t xml:space="preserve"> (1991)</w:t>
      </w:r>
      <w:r w:rsidR="000F4158" w:rsidRPr="003D708F">
        <w:t xml:space="preserve">, </w:t>
      </w:r>
      <w:r w:rsidR="000F4158">
        <w:t xml:space="preserve">John Perry (Perry 2001), </w:t>
      </w:r>
      <w:r w:rsidR="003D708F" w:rsidRPr="003D708F">
        <w:t xml:space="preserve">Tom </w:t>
      </w:r>
      <w:proofErr w:type="spellStart"/>
      <w:r w:rsidR="003D708F" w:rsidRPr="003D708F">
        <w:t>Polger</w:t>
      </w:r>
      <w:proofErr w:type="spellEnd"/>
      <w:r w:rsidR="00E209B3">
        <w:t xml:space="preserve"> (</w:t>
      </w:r>
      <w:proofErr w:type="spellStart"/>
      <w:r w:rsidR="00E209B3">
        <w:t>Polger</w:t>
      </w:r>
      <w:proofErr w:type="spellEnd"/>
      <w:r w:rsidR="00E209B3">
        <w:t xml:space="preserve"> forthcoming</w:t>
      </w:r>
      <w:r w:rsidR="00C073E5">
        <w:t>; 2004</w:t>
      </w:r>
      <w:r w:rsidR="00E209B3">
        <w:t>)</w:t>
      </w:r>
      <w:r w:rsidR="000F4158">
        <w:t xml:space="preserve">, </w:t>
      </w:r>
      <w:r w:rsidR="003D708F" w:rsidRPr="003D708F">
        <w:t>and Ned Block</w:t>
      </w:r>
      <w:r w:rsidR="00E209B3">
        <w:t xml:space="preserve"> (</w:t>
      </w:r>
      <w:r w:rsidR="00C23904">
        <w:t>Block 2009</w:t>
      </w:r>
      <w:r w:rsidR="00E209B3">
        <w:t>)</w:t>
      </w:r>
      <w:r w:rsidR="003D708F" w:rsidRPr="003D708F">
        <w:t xml:space="preserve">. </w:t>
      </w:r>
      <w:r w:rsidR="00CD1677">
        <w:t>Within the identity camp there are two broad tra</w:t>
      </w:r>
      <w:r w:rsidR="00130F77">
        <w:t>ditions that roughly correspond</w:t>
      </w:r>
      <w:r w:rsidR="00CD1677">
        <w:t xml:space="preserve"> to whether one follows </w:t>
      </w:r>
      <w:r w:rsidR="005C3717">
        <w:t>Smart</w:t>
      </w:r>
      <w:r w:rsidR="00CD1677">
        <w:t>/Place</w:t>
      </w:r>
      <w:r w:rsidR="005C3717">
        <w:t xml:space="preserve"> </w:t>
      </w:r>
      <w:r w:rsidR="00CD1677">
        <w:t>or</w:t>
      </w:r>
      <w:r w:rsidR="005C3717">
        <w:t xml:space="preserve"> Armstrong/Lewis. </w:t>
      </w:r>
      <w:r w:rsidR="003D708F" w:rsidRPr="003D708F">
        <w:t>The main difference concerns how we will eventually come to discover the mind-brain identities</w:t>
      </w:r>
      <w:r w:rsidR="00486B50">
        <w:t xml:space="preserve"> and whether these identities are in principle knowable a priori</w:t>
      </w:r>
      <w:r w:rsidR="003D708F" w:rsidRPr="003D708F">
        <w:t xml:space="preserve">. </w:t>
      </w:r>
    </w:p>
    <w:p w:rsidR="00D31964" w:rsidRDefault="00130F77" w:rsidP="00D31964">
      <w:pPr>
        <w:spacing w:after="240" w:line="480" w:lineRule="auto"/>
        <w:ind w:firstLine="720"/>
        <w:jc w:val="both"/>
      </w:pPr>
      <w:r>
        <w:t xml:space="preserve">On the Place/Smart view the mind-brain identities are postulated because they offer the most parsimonious ultimate theory. </w:t>
      </w:r>
      <w:r w:rsidR="00486B50">
        <w:t xml:space="preserve">The identities are truly a posteriori in the sense that they cannot be known to be true a priori even in principle. </w:t>
      </w:r>
      <w:r>
        <w:t xml:space="preserve">On the broadly </w:t>
      </w:r>
      <w:proofErr w:type="spellStart"/>
      <w:r>
        <w:t>Lewisian</w:t>
      </w:r>
      <w:proofErr w:type="spellEnd"/>
      <w:r>
        <w:t xml:space="preserve"> view the identities are entailed by the theories that make them true. </w:t>
      </w:r>
      <w:r w:rsidR="00486B50">
        <w:t xml:space="preserve">These identities could be known a priori, at least in principle. </w:t>
      </w:r>
      <w:r w:rsidR="005C3717">
        <w:t xml:space="preserve">This is well known. What is less well known, perhaps, is the kind </w:t>
      </w:r>
      <w:r w:rsidR="00C23904">
        <w:t>of</w:t>
      </w:r>
      <w:r w:rsidR="005C3717">
        <w:t xml:space="preserve"> identity theory that one gets if one takes a broadly </w:t>
      </w:r>
      <w:proofErr w:type="spellStart"/>
      <w:r w:rsidR="005C3717">
        <w:t>Lewsian/Armstronian</w:t>
      </w:r>
      <w:proofErr w:type="spellEnd"/>
      <w:r w:rsidR="005C3717">
        <w:t xml:space="preserve"> approach updated in light of the advances in two dimensional semantics. </w:t>
      </w:r>
      <w:r w:rsidR="00486B50">
        <w:t xml:space="preserve">.  In this paper I will briefly rehearse the two-dimensional view of David Chalmers  (Chalmers 2008) and then formulate the identity theory in its terms. I will conclude by showing how the 2-D identity theory is immune to most common criticisms of the identity theory. </w:t>
      </w:r>
    </w:p>
    <w:p w:rsidR="00CD1677" w:rsidRPr="00D31964" w:rsidRDefault="00D31964" w:rsidP="00D31964">
      <w:pPr>
        <w:spacing w:line="480" w:lineRule="auto"/>
        <w:jc w:val="both"/>
        <w:rPr>
          <w:b/>
        </w:rPr>
      </w:pPr>
      <w:r w:rsidRPr="00D31964">
        <w:rPr>
          <w:b/>
        </w:rPr>
        <w:t>I. The 2-D Framework</w:t>
      </w:r>
    </w:p>
    <w:p w:rsidR="005C3717" w:rsidRDefault="005C3717" w:rsidP="007B7205">
      <w:pPr>
        <w:spacing w:line="480" w:lineRule="auto"/>
        <w:ind w:firstLine="720"/>
        <w:jc w:val="both"/>
      </w:pPr>
      <w:r>
        <w:t xml:space="preserve">In my view two-dimensional semantics </w:t>
      </w:r>
      <w:r w:rsidR="00082B97">
        <w:t>is</w:t>
      </w:r>
      <w:r>
        <w:t xml:space="preserve"> motivated by the intuitive idea that there are two different ways of picking things out in the world. One way of picking things out is via a description. To pick something out that way is to find the thing in the world that “fits” the description. The second way of picking something out is by pointing at it. “That stuff,” one says pointing at some </w:t>
      </w:r>
      <w:r w:rsidR="005372E5">
        <w:t>liquid</w:t>
      </w:r>
      <w:r>
        <w:t xml:space="preserve"> in a glass, “what if </w:t>
      </w:r>
      <w:r w:rsidRPr="009174D0">
        <w:rPr>
          <w:i/>
        </w:rPr>
        <w:t>that stuff</w:t>
      </w:r>
      <w:r>
        <w:t xml:space="preserve"> had been XYZ” is a very different question from “what if the stuff that falls from the skies, fills our lacks, etc, had been XYZ”. As David Chalmers has pointed out this intuitive distinction corresponds very well with two ways of thinking about necessity</w:t>
      </w:r>
      <w:r w:rsidR="00BB0946">
        <w:t xml:space="preserve"> and possibility. The most familiar way of thinking about these is counter-factually. </w:t>
      </w:r>
      <w:r w:rsidR="00B6437E">
        <w:t xml:space="preserve"> When one does this one takes the actual world as fixed, or given, and reasons from there. The other is what David Chalmers calls indicatively. This is less familiar but is equally intuitive. </w:t>
      </w:r>
      <w:r w:rsidR="000B1BD5">
        <w:t xml:space="preserve">When we think about things this way we do not anchor ourselves to the actual world. We think about each possible scenario not as something that is counter-factual but rather as though it were the actual world. </w:t>
      </w:r>
      <w:r w:rsidR="009B752F">
        <w:t xml:space="preserve">What we get then is a unified space of possibilities that can be thought of in two different ways each of which corresponds to one of the ways we have of picking things out in the actual world. From this intuitive starting point we can add some technical terms to keep things straight. Before doing so I should just note that one need not endorse the whole program of the 2-D movement to see that it is useful to think about the space of possibilities. </w:t>
      </w:r>
    </w:p>
    <w:p w:rsidR="002F18CF" w:rsidRDefault="005C3717" w:rsidP="007B7205">
      <w:pPr>
        <w:spacing w:line="480" w:lineRule="auto"/>
        <w:ind w:firstLine="720"/>
        <w:jc w:val="both"/>
      </w:pPr>
      <w:r>
        <w:t>We</w:t>
      </w:r>
      <w:r w:rsidR="009B752F">
        <w:t xml:space="preserve"> can start by introducing the</w:t>
      </w:r>
      <w:r>
        <w:t xml:space="preserve"> </w:t>
      </w:r>
      <w:r w:rsidRPr="009B752F">
        <w:rPr>
          <w:i/>
        </w:rPr>
        <w:t>primary</w:t>
      </w:r>
      <w:r>
        <w:t xml:space="preserve"> and </w:t>
      </w:r>
      <w:r w:rsidRPr="009B752F">
        <w:rPr>
          <w:i/>
        </w:rPr>
        <w:t>secondary</w:t>
      </w:r>
      <w:r>
        <w:t xml:space="preserve"> intensions of a statement. Let’s take our old standby ‘water is H2O’ and our two ways of considering possible worlds as either actual or counter factual. So, ‘water is H2O’ is true when we conside</w:t>
      </w:r>
      <w:r w:rsidR="009B752F">
        <w:t>r any possible world as counter-</w:t>
      </w:r>
      <w:r>
        <w:t xml:space="preserve">factual. This is because  ’water is H2O’ is an a posteriori necessity. There are no worlds, considered as counter-factual, where water isn’t H2O. </w:t>
      </w:r>
      <w:r w:rsidR="002F18CF">
        <w:t xml:space="preserve">This we call the secondary intension of the statement. It is evaluated counter-factually and so is true even at worlds like Twin Earth because there is no water on Twin Earth considered counter-factually. </w:t>
      </w:r>
      <w:r>
        <w:t xml:space="preserve">But if we consider </w:t>
      </w:r>
      <w:r w:rsidR="002F18CF">
        <w:t xml:space="preserve">Twin Earth </w:t>
      </w:r>
      <w:r>
        <w:t>as actual instead of counter factual, ‘water is H2O’ comes out false</w:t>
      </w:r>
      <w:r w:rsidR="002F18CF">
        <w:t xml:space="preserve"> because on</w:t>
      </w:r>
      <w:r>
        <w:t xml:space="preserve"> Twin Earth ‘water is XYZ’ is true and so when we consider Twin Earth as actual ‘water is H2O’ is false. That is to say that if Twin Earth were the actual world ‘water is not H2O’ would be true (because ‘water is XYZ’ is true there). </w:t>
      </w:r>
    </w:p>
    <w:p w:rsidR="005C3717" w:rsidRDefault="005C3717" w:rsidP="007B7205">
      <w:pPr>
        <w:spacing w:line="480" w:lineRule="auto"/>
        <w:ind w:firstLine="720"/>
        <w:jc w:val="both"/>
      </w:pPr>
      <w:r>
        <w:t>The primary intension of a statement is given by asking whether it is true or false at possible worlds considered as actual while the secondary intension of a statement is given by asking whether it is true or false at possible worlds considered as counter factual. In effect then the primary intension of a statement is given by some kind of reference fixing description and then we determine whether the statement is true or not by taking a possible world and letting the description fix the reference at that world and the secondary intension of a statement is given by assigning the actual reference of the terms in question and holding that fixed as we vary our counter factual worlds.</w:t>
      </w:r>
    </w:p>
    <w:p w:rsidR="001827F7" w:rsidRDefault="005C3717" w:rsidP="00486B50">
      <w:pPr>
        <w:spacing w:after="240" w:line="480" w:lineRule="auto"/>
        <w:ind w:firstLine="720"/>
        <w:jc w:val="both"/>
      </w:pPr>
      <w:r>
        <w:t>Primary and secondary conceivability are then defined in terms of the kind of intension at work. So, take ‘water is not H20</w:t>
      </w:r>
      <w:r>
        <w:rPr>
          <w:rFonts w:ascii="Times New Roman" w:hAnsi="Times New Roman" w:cs="Times New Roman"/>
        </w:rPr>
        <w:t>′</w:t>
      </w:r>
      <w:r>
        <w:t>. Chalmers accepts that there is a sense in which this is not conceivable. This is the sense in which we give ‘water’ the reference that it actually has. Then ‘water is not H20</w:t>
      </w:r>
      <w:r>
        <w:rPr>
          <w:rFonts w:ascii="Times New Roman" w:hAnsi="Times New Roman" w:cs="Times New Roman"/>
        </w:rPr>
        <w:t>′</w:t>
      </w:r>
      <w:r>
        <w:t xml:space="preserve"> is equivalent to saying ‘H20 is not H20</w:t>
      </w:r>
      <w:r>
        <w:rPr>
          <w:rFonts w:ascii="Times New Roman" w:hAnsi="Times New Roman" w:cs="Times New Roman"/>
        </w:rPr>
        <w:t>′</w:t>
      </w:r>
      <w:r>
        <w:t xml:space="preserve"> which i</w:t>
      </w:r>
      <w:r w:rsidR="00121955">
        <w:t>s a contradiction. T</w:t>
      </w:r>
      <w:r>
        <w:t xml:space="preserve">his is to use secondary conceivability. ‘Water is not H2O’ is still primarily conceivable since if we consider Twin Earth as actual it will be true. This is because we assign ‘water’ just the reference fixing description and so to say that water is not H2O is just to say that ‘the stuff picked out in the same way we pick out H2O is not H2O’ which is true at Twin Earth. This captures </w:t>
      </w:r>
      <w:proofErr w:type="spellStart"/>
      <w:r>
        <w:t>Kripke’s</w:t>
      </w:r>
      <w:proofErr w:type="spellEnd"/>
      <w:r>
        <w:t xml:space="preserve"> way of putting it. When we think that we are concei</w:t>
      </w:r>
      <w:r w:rsidR="004A2B51">
        <w:t>ving of water not being H2O we</w:t>
      </w:r>
      <w:r>
        <w:t xml:space="preserve"> are really conceiving of a person who is in the same epistemic situation as we are when we pick out H2O but isn’t picking that stuff out (i.e. Twin Earth).  </w:t>
      </w:r>
    </w:p>
    <w:p w:rsidR="00486B50" w:rsidRPr="00486B50" w:rsidRDefault="00486B50" w:rsidP="00486B50">
      <w:pPr>
        <w:spacing w:line="480" w:lineRule="auto"/>
        <w:jc w:val="both"/>
        <w:rPr>
          <w:b/>
        </w:rPr>
      </w:pPr>
      <w:r w:rsidRPr="00486B50">
        <w:rPr>
          <w:b/>
        </w:rPr>
        <w:t>II. Applying the Framework</w:t>
      </w:r>
    </w:p>
    <w:p w:rsidR="0054420B" w:rsidRDefault="001827F7" w:rsidP="0054420B">
      <w:pPr>
        <w:spacing w:line="480" w:lineRule="auto"/>
        <w:ind w:firstLine="720"/>
        <w:jc w:val="both"/>
      </w:pPr>
      <w:r>
        <w:t xml:space="preserve">If we take this and combine it with Lewis/Armstrong identity theory we end up with the claim that the primary intension of psychological predicates just are the causal-role definitions of those terms. So the primary intension for ‘pain’ will be ‘the state caused by … and which causes …’ as well as all of the folk-psychological platitudes </w:t>
      </w:r>
      <w:r w:rsidR="004A2B51">
        <w:t>about pain.</w:t>
      </w:r>
      <w:r w:rsidR="00121955">
        <w:t xml:space="preserve"> </w:t>
      </w:r>
      <w:r>
        <w:t xml:space="preserve">This primary intension will be used to pick out the painful stuff across possible worlds. </w:t>
      </w:r>
      <w:r w:rsidR="004A2B51">
        <w:t>One of the central claims of the identity theory is that mind-</w:t>
      </w:r>
      <w:r>
        <w:t>brain identities are no different than ordinary scientif</w:t>
      </w:r>
      <w:r w:rsidR="004A2B51">
        <w:t>ic identities like water=H2O.  As we have just seen i</w:t>
      </w:r>
      <w:r>
        <w:t>n the 2-D framework these kinds of statements have a necessary secondary intension and a contingent primary intension. If we read</w:t>
      </w:r>
      <w:r w:rsidR="004A2B51">
        <w:t xml:space="preserve"> the statement as, in effect, ‘H</w:t>
      </w:r>
      <w:r>
        <w:t xml:space="preserve">2O is H2O’ then it is necessary </w:t>
      </w:r>
      <w:r w:rsidR="004A2B51">
        <w:t>as</w:t>
      </w:r>
      <w:r>
        <w:t xml:space="preserve"> all worlds where there is H2O are worlds where there is H2O. But the primary intension is contingent. There is a possible world, which had it been the actual world it would have been the case that water was not H2O. This </w:t>
      </w:r>
      <w:r w:rsidR="00AA0CFC">
        <w:t xml:space="preserve">is </w:t>
      </w:r>
      <w:r>
        <w:t xml:space="preserve">just Twin Earth. If mind-brain identities are just like ordinary scientific identities then they will have a necessary secondary intension and a contingent primary intension. </w:t>
      </w:r>
    </w:p>
    <w:p w:rsidR="00DF0336" w:rsidRDefault="00AA0CFC" w:rsidP="0054420B">
      <w:pPr>
        <w:spacing w:line="480" w:lineRule="auto"/>
        <w:ind w:firstLine="720"/>
        <w:jc w:val="both"/>
      </w:pPr>
      <w:r>
        <w:t xml:space="preserve">That means that our description, “the painful stuff” will pick out a certain brain state at the actual world if the identity theory is true. </w:t>
      </w:r>
      <w:proofErr w:type="spellStart"/>
      <w:r>
        <w:t>Kripke</w:t>
      </w:r>
      <w:proofErr w:type="spellEnd"/>
      <w:r>
        <w:t xml:space="preserve"> taught us that these identities were necessary but 2-D semantics taught us that this means they are secondarily necessary and primarily contingent. So if we take the actual world as given and consider other possible worlds as counter-factual then all worlds where there are pains are ones where it is a brain state</w:t>
      </w:r>
      <w:r w:rsidR="0054420B">
        <w:t xml:space="preserve"> because it is (ex </w:t>
      </w:r>
      <w:proofErr w:type="spellStart"/>
      <w:r w:rsidR="0054420B">
        <w:t>hypothesi</w:t>
      </w:r>
      <w:proofErr w:type="spellEnd"/>
      <w:r w:rsidR="0054420B">
        <w:t>) true at the actual world</w:t>
      </w:r>
      <w:r>
        <w:t xml:space="preserve">.  However if we take the primary intension we will find possible worlds where brain states are not picked out. But just as Twin Earth is no threat to </w:t>
      </w:r>
      <w:proofErr w:type="spellStart"/>
      <w:r>
        <w:t>physicalism</w:t>
      </w:r>
      <w:proofErr w:type="spellEnd"/>
      <w:r>
        <w:t xml:space="preserve"> about water neither are these dualist </w:t>
      </w:r>
      <w:proofErr w:type="gramStart"/>
      <w:r>
        <w:t>worlds</w:t>
      </w:r>
      <w:proofErr w:type="gramEnd"/>
      <w:r>
        <w:t xml:space="preserve"> threats to </w:t>
      </w:r>
      <w:proofErr w:type="spellStart"/>
      <w:r>
        <w:t>physicalism</w:t>
      </w:r>
      <w:proofErr w:type="spellEnd"/>
      <w:r>
        <w:t xml:space="preserve"> about consciousness. </w:t>
      </w:r>
      <w:r w:rsidR="00DF0336">
        <w:t>This shows that Cartesian thought experiments about ghosts are no threat to the identity theory in 2-D. Ghost worlds are just the ones where the primary intension of “the painful stuff is physical’ is false which is precisely what makes it contingent and this is exactly what we expect.</w:t>
      </w:r>
    </w:p>
    <w:p w:rsidR="004D6229" w:rsidRDefault="00DF0336" w:rsidP="007B7205">
      <w:pPr>
        <w:spacing w:line="480" w:lineRule="auto"/>
        <w:ind w:firstLine="720"/>
        <w:jc w:val="both"/>
      </w:pPr>
      <w:r>
        <w:t xml:space="preserve">What about zombies? </w:t>
      </w:r>
      <w:r w:rsidR="0054420B">
        <w:t>According to the identity theory in</w:t>
      </w:r>
      <w:r>
        <w:t xml:space="preserve"> 2-D the zombie world is akin to a world that is physically identical to our world in that it has H2O but </w:t>
      </w:r>
      <w:r w:rsidR="008F6321">
        <w:t xml:space="preserve">is stipulated to lack water. This is not even conceivable on the 2-D view. Given what we know now we can see that we can in fact deduce water facts from H2O facts and that shows us that there are no possible worlds like the one described. Just given the H2O facts alone necessitates water facts. If the identity theory is true then the same is the case for mind-brain identities. The zombie world is then inconceivable. What are we to say to the charge that the zombie world seems conceivable? Is this an objection? No. The problem is that it is equally conceivable that consciousness be a physical property. </w:t>
      </w:r>
      <w:r w:rsidR="00EC7E87">
        <w:t xml:space="preserve"> I have previously </w:t>
      </w:r>
      <w:r w:rsidR="0054420B">
        <w:t xml:space="preserve">(Brown 2010) </w:t>
      </w:r>
      <w:r w:rsidR="00EC7E87">
        <w:t xml:space="preserve">called these creatures </w:t>
      </w:r>
      <w:r w:rsidR="00AA2E6D">
        <w:t>‘</w:t>
      </w:r>
      <w:proofErr w:type="spellStart"/>
      <w:r w:rsidR="00EC7E87">
        <w:t>shombies</w:t>
      </w:r>
      <w:proofErr w:type="spellEnd"/>
      <w:r w:rsidR="00AA2E6D">
        <w:t>’</w:t>
      </w:r>
      <w:r w:rsidR="00EC7E87">
        <w:t xml:space="preserve">. </w:t>
      </w:r>
      <w:proofErr w:type="spellStart"/>
      <w:r w:rsidR="00EC7E87">
        <w:t>Shombies</w:t>
      </w:r>
      <w:proofErr w:type="spellEnd"/>
      <w:r w:rsidR="00EC7E87">
        <w:t xml:space="preserve"> are creatures that </w:t>
      </w:r>
      <w:r w:rsidR="004D6229">
        <w:t xml:space="preserve">are </w:t>
      </w:r>
      <w:r w:rsidR="00EC7E87">
        <w:t xml:space="preserve">completely and exhaustively physical but that are conscious in </w:t>
      </w:r>
      <w:r w:rsidR="0037383A">
        <w:t>exactly</w:t>
      </w:r>
      <w:r w:rsidR="00EC7E87">
        <w:t xml:space="preserve"> the same way that I am. </w:t>
      </w:r>
      <w:r w:rsidR="004D6229">
        <w:t xml:space="preserve"> Below I will briefly sketch a way of conceiving of </w:t>
      </w:r>
      <w:proofErr w:type="spellStart"/>
      <w:r w:rsidR="004D6229">
        <w:t>shombies</w:t>
      </w:r>
      <w:proofErr w:type="spellEnd"/>
      <w:r w:rsidR="004D6229">
        <w:t xml:space="preserve">. </w:t>
      </w:r>
    </w:p>
    <w:p w:rsidR="006303D6" w:rsidRDefault="00EC7E87" w:rsidP="006303D6">
      <w:pPr>
        <w:spacing w:line="480" w:lineRule="auto"/>
        <w:ind w:firstLine="720"/>
        <w:jc w:val="both"/>
      </w:pPr>
      <w:r>
        <w:t xml:space="preserve">Suppose for the sake of argument that the Higher-Order thought theory of consciousness as defended by someone like David Rosenthal </w:t>
      </w:r>
      <w:r w:rsidR="00AA2E6D">
        <w:t xml:space="preserve">(Rosenthal 2005) </w:t>
      </w:r>
      <w:r>
        <w:t>turns out to be correct. On this view having a conscious pain</w:t>
      </w:r>
      <w:r w:rsidR="00ED795A">
        <w:t xml:space="preserve"> consists in one having </w:t>
      </w:r>
      <w:proofErr w:type="gramStart"/>
      <w:r w:rsidR="00ED795A">
        <w:t>a</w:t>
      </w:r>
      <w:proofErr w:type="gramEnd"/>
      <w:r w:rsidR="00ED795A">
        <w:t xml:space="preserve"> </w:t>
      </w:r>
      <w:proofErr w:type="spellStart"/>
      <w:r w:rsidR="00ED795A">
        <w:t>occure</w:t>
      </w:r>
      <w:r>
        <w:t>nt</w:t>
      </w:r>
      <w:proofErr w:type="spellEnd"/>
      <w:r>
        <w:t xml:space="preserve"> seemingly non-inferential thought to the effect that one is oneself having a pain. That is, one is conscious of oneself as being in pain and this results in its being painful for one.  </w:t>
      </w:r>
      <w:r w:rsidR="0037383A">
        <w:t xml:space="preserve">Having this thought can then be identified with having a certain brain state. In that </w:t>
      </w:r>
      <w:r w:rsidR="006303D6">
        <w:t>case</w:t>
      </w:r>
      <w:r w:rsidR="0037383A">
        <w:t xml:space="preserve"> we could in principle deduce the identity of pain and the brain state using the higher-order theory of consciousness. </w:t>
      </w:r>
      <w:r w:rsidR="006303D6">
        <w:t xml:space="preserve">This is, of course, highly controversial but we can give an argument for it. </w:t>
      </w:r>
      <w:r w:rsidR="006303D6" w:rsidRPr="001D09E2">
        <w:t>It is, roughly, the argument that Rosenthal himself gives in many places. Take the case of listening to an orchestra.  If one has no concept of what a bass clarinet is one will not consciously experience the sound of the bass clarinet as such, though one’s experience of it may be conscious in some other respect (that is to say one will have the relevant first-order states with their qualitative characters and perhaps even higher-order thoughts about them but not as having bass-clarinet* qualities). Once one acquires the concept ‘bass clarinet’ one’s experience is different in a phenomenological way. What it is like for one to hear the orchestra will differ in precisely the sense that it will now sound like there is a bass clarinet in the orchestra to one.  The same case can be made for wine tasting.</w:t>
      </w:r>
      <w:r w:rsidR="006303D6" w:rsidRPr="001D09E2">
        <w:rPr>
          <w:rStyle w:val="FootnoteReference"/>
        </w:rPr>
        <w:footnoteReference w:id="-1"/>
      </w:r>
      <w:r w:rsidR="006303D6" w:rsidRPr="001D09E2">
        <w:t xml:space="preserve"> </w:t>
      </w:r>
    </w:p>
    <w:p w:rsidR="006303D6" w:rsidRPr="001D09E2" w:rsidRDefault="006303D6" w:rsidP="006303D6">
      <w:pPr>
        <w:spacing w:line="480" w:lineRule="auto"/>
        <w:ind w:firstLine="720"/>
        <w:jc w:val="both"/>
      </w:pPr>
      <w:r w:rsidRPr="001D09E2">
        <w:t xml:space="preserve">What cases like this give us is data that learning a new results in new conscious phenomenology. </w:t>
      </w:r>
      <w:r>
        <w:t>This suggests that the</w:t>
      </w:r>
      <w:r w:rsidRPr="001D09E2">
        <w:t xml:space="preserve"> precise content of the HOT determines what it is like for one and this very fact is what is supposed to aid in our explanation of phenomenal consciousness. At the very least these kinds of data open up the space of possibilities and suggest that it could be the case that having a HOT accounts for phenomenal consciousness. </w:t>
      </w:r>
      <w:r w:rsidR="003524AA">
        <w:t xml:space="preserve">In response to the objection </w:t>
      </w:r>
      <w:r w:rsidRPr="001D09E2">
        <w:t xml:space="preserve">that one </w:t>
      </w:r>
      <w:r w:rsidR="003524AA">
        <w:t>may grant</w:t>
      </w:r>
      <w:r w:rsidRPr="001D09E2">
        <w:t xml:space="preserve"> that applying concepts results in a change in one’s phenomenology but </w:t>
      </w:r>
      <w:r w:rsidR="003524AA">
        <w:t>may still deny</w:t>
      </w:r>
      <w:r w:rsidRPr="001D09E2">
        <w:t xml:space="preserve"> that </w:t>
      </w:r>
      <w:proofErr w:type="spellStart"/>
      <w:r w:rsidRPr="001D09E2">
        <w:t>HOTs</w:t>
      </w:r>
      <w:proofErr w:type="spellEnd"/>
      <w:r w:rsidRPr="001D09E2">
        <w:t xml:space="preserve"> can explain the existence of phenomenology in the first place.</w:t>
      </w:r>
      <w:r w:rsidRPr="001D09E2">
        <w:rPr>
          <w:rStyle w:val="FootnoteReference"/>
        </w:rPr>
        <w:footnoteReference w:id="0"/>
      </w:r>
      <w:r w:rsidRPr="001D09E2">
        <w:t xml:space="preserve">  </w:t>
      </w:r>
      <w:proofErr w:type="gramStart"/>
      <w:r w:rsidRPr="001D09E2">
        <w:t>Rosenthal  says</w:t>
      </w:r>
      <w:proofErr w:type="gramEnd"/>
      <w:r w:rsidRPr="001D09E2">
        <w:t>,</w:t>
      </w:r>
    </w:p>
    <w:p w:rsidR="006303D6" w:rsidRPr="001D09E2" w:rsidRDefault="006303D6" w:rsidP="006303D6">
      <w:pPr>
        <w:ind w:left="720"/>
        <w:jc w:val="both"/>
      </w:pPr>
      <w:r w:rsidRPr="001D09E2">
        <w:t>Suppose I am in pain and that pain is conscious, but I am not aware of whether the pain is throbbing or dull or sharp. Because the pain is conscious there is something that it is like to be in it...suppose, now, there is some physiological reason to think that the pain is throbbing, as opposed to dull or sharp. So what it is like to be in this pain leaves out one of its qualitative properties: that of being a throbbing pain and if qualitative states can occur without one’s being conscious of all their mental qualities, what reason can we give to deny that such states can occur without our being aware of any of those qualities? (p. 155)</w:t>
      </w:r>
    </w:p>
    <w:p w:rsidR="006303D6" w:rsidRPr="001D09E2" w:rsidRDefault="006303D6" w:rsidP="006303D6">
      <w:pPr>
        <w:ind w:left="720"/>
        <w:jc w:val="both"/>
      </w:pPr>
    </w:p>
    <w:p w:rsidR="006A445C" w:rsidRDefault="006303D6" w:rsidP="00566E4C">
      <w:pPr>
        <w:spacing w:line="480" w:lineRule="auto"/>
        <w:jc w:val="both"/>
      </w:pPr>
      <w:r w:rsidRPr="001D09E2">
        <w:t>When one subtracts out the content ‘throbbing’ from the HOT one’s conscious phenomenology lacks this aspect. If we were to add it back in one’s conscious phenomenology would again include it. This is because “what it’s like for us to be in a specific qualitative state is determined by the way consciousness represents that state...by the content of the HOT,” (p.173).  If we imagine again abstracting away the content of the HOT so that one was conscious of the pain just as some sensation or other the experience would be correspondingly more generic for the creature that had it.</w:t>
      </w:r>
      <w:r w:rsidRPr="001D09E2">
        <w:rPr>
          <w:rStyle w:val="FootnoteReference"/>
        </w:rPr>
        <w:footnoteReference w:id="1"/>
      </w:r>
      <w:r w:rsidRPr="001D09E2">
        <w:t xml:space="preserve"> </w:t>
      </w:r>
      <w:r w:rsidR="006A445C">
        <w:t xml:space="preserve">If, as this subtraction process seems to support, peeling of the final concept strips the experience of any phenomenal consciousness then it is not unreasonable to </w:t>
      </w:r>
      <w:r w:rsidR="008A72BE">
        <w:t xml:space="preserve">suggest that it is the having of the higher-order state that constitutes the phenomenology. </w:t>
      </w:r>
      <w:r w:rsidRPr="001D09E2">
        <w:t>Notice that this subtraction argument is not supposed to show that applying concepts constitutes phenomenology but rather only to show that this is a plausible way to interpret the data of wine tasting and like phenomena. There may be other theoretical accounts but the higher-or</w:t>
      </w:r>
      <w:r w:rsidR="008A72BE">
        <w:t>der view remains a live option and a</w:t>
      </w:r>
      <w:r w:rsidR="0037383A">
        <w:t xml:space="preserve">ll </w:t>
      </w:r>
      <w:r w:rsidR="00566E4C">
        <w:t>w</w:t>
      </w:r>
      <w:r w:rsidR="0037383A">
        <w:t xml:space="preserve">e need for the present purposes is that the scenario that I just sketched is </w:t>
      </w:r>
      <w:r w:rsidR="0037383A" w:rsidRPr="00566E4C">
        <w:rPr>
          <w:i/>
        </w:rPr>
        <w:t>conceivable</w:t>
      </w:r>
      <w:r w:rsidR="0037383A">
        <w:t xml:space="preserve">. This certainly seems conceivable without any obvious contradiction. </w:t>
      </w:r>
    </w:p>
    <w:p w:rsidR="006A445C" w:rsidRDefault="006A445C" w:rsidP="006A445C">
      <w:pPr>
        <w:spacing w:line="480" w:lineRule="auto"/>
        <w:ind w:firstLine="720"/>
        <w:jc w:val="both"/>
      </w:pPr>
      <w:r>
        <w:t xml:space="preserve">What about multiple </w:t>
      </w:r>
      <w:proofErr w:type="spellStart"/>
      <w:r>
        <w:t>realizability</w:t>
      </w:r>
      <w:proofErr w:type="spellEnd"/>
      <w:r>
        <w:t xml:space="preserve"> argument</w:t>
      </w:r>
      <w:r w:rsidR="00922DD3">
        <w:t>s</w:t>
      </w:r>
      <w:r>
        <w:t>? Let us discuss the science fiction example of Commander Data from the Star Trek series. Data is portrayed as having a ‘</w:t>
      </w:r>
      <w:proofErr w:type="spellStart"/>
      <w:r>
        <w:t>positronic</w:t>
      </w:r>
      <w:proofErr w:type="spellEnd"/>
      <w:r>
        <w:t xml:space="preserve">’ brain, which is supposed to be something like a functional </w:t>
      </w:r>
      <w:proofErr w:type="spellStart"/>
      <w:r>
        <w:t>isomorph</w:t>
      </w:r>
      <w:proofErr w:type="spellEnd"/>
      <w:r>
        <w:t xml:space="preserve"> of the human brain. If we consider the world that Data is in as the actual world then we are thinking about a world where functionalism is true. But if the identity theory is true at the actual world and </w:t>
      </w:r>
      <w:r w:rsidR="001305DC">
        <w:t xml:space="preserve">we </w:t>
      </w:r>
      <w:r>
        <w:t xml:space="preserve">consider the Data world counter-factually we consider a world where there are no mental states. Considered counter-factually a mental state must be a brain state and since Data has no brain states he has no mental states. What this means is that the actual world cannot be one where there are mental states that are multiply realized. </w:t>
      </w:r>
      <w:r w:rsidR="001305DC">
        <w:t xml:space="preserve">This is the respect in which the 2-D identity theory most dramatically differs from Lewis’ approach. Lewis would argue that these identities are secondarily contingent but the 2-D view incorporates </w:t>
      </w:r>
      <w:proofErr w:type="spellStart"/>
      <w:r w:rsidR="001305DC">
        <w:t>Kripke’s</w:t>
      </w:r>
      <w:proofErr w:type="spellEnd"/>
      <w:r w:rsidR="001305DC">
        <w:t xml:space="preserve"> insights and treats them as secondarily necessary. </w:t>
      </w:r>
      <w:r>
        <w:t xml:space="preserve">Is this an objection? </w:t>
      </w:r>
      <w:r w:rsidR="001305DC">
        <w:t xml:space="preserve">That is, is there any reason to think that functionalism is actually true? </w:t>
      </w:r>
    </w:p>
    <w:p w:rsidR="003D708F" w:rsidRPr="003D708F" w:rsidRDefault="006A445C" w:rsidP="006A445C">
      <w:pPr>
        <w:spacing w:line="480" w:lineRule="auto"/>
        <w:ind w:firstLine="720"/>
        <w:jc w:val="both"/>
      </w:pPr>
      <w:proofErr w:type="spellStart"/>
      <w:r>
        <w:t>Polger</w:t>
      </w:r>
      <w:proofErr w:type="spellEnd"/>
      <w:r>
        <w:t xml:space="preserve"> (</w:t>
      </w:r>
      <w:proofErr w:type="spellStart"/>
      <w:r>
        <w:t>Polger</w:t>
      </w:r>
      <w:proofErr w:type="spellEnd"/>
      <w:r>
        <w:t xml:space="preserve"> forthcoming) has recently argued that we do not have much reason to think that mental states are actually multiply realized.  The only real evidence we have for multiple </w:t>
      </w:r>
      <w:proofErr w:type="gramStart"/>
      <w:r>
        <w:t>realization</w:t>
      </w:r>
      <w:proofErr w:type="gramEnd"/>
      <w:r>
        <w:t xml:space="preserve"> comes from intuitions about what is possible. But if the identity theory is true of the actual world then what these intuitions are really about are various possible worlds that are not candidates for being the actual world. Instead what one imagines is that there were creatures that were in the same epistemic situation that we are in and were not in the corresponding brain states. That is, we conceive of the world that makes the primary intension true just like we did with H20. When we conceive of Twin Earth we conceive of a world that makes the primary intension of ‘water is H2O’ come out false (because at Twin earth considered as actual water is XYZ). Notice that this is not enough to threaten </w:t>
      </w:r>
      <w:proofErr w:type="spellStart"/>
      <w:r>
        <w:t>physicalism</w:t>
      </w:r>
      <w:proofErr w:type="spellEnd"/>
      <w:r>
        <w:t xml:space="preserve">. No one thinks that </w:t>
      </w:r>
      <w:proofErr w:type="spellStart"/>
      <w:r>
        <w:t>physicalism</w:t>
      </w:r>
      <w:proofErr w:type="spellEnd"/>
      <w:r>
        <w:t xml:space="preserve"> about water is threatened by twin Earth why should </w:t>
      </w:r>
      <w:proofErr w:type="spellStart"/>
      <w:r>
        <w:t>physicalism</w:t>
      </w:r>
      <w:proofErr w:type="spellEnd"/>
      <w:r>
        <w:t xml:space="preserve"> about pain be threatened</w:t>
      </w:r>
      <w:r w:rsidR="00922DD3">
        <w:t xml:space="preserve"> by the Commander Data world?  </w:t>
      </w:r>
      <w:r>
        <w:t>Of course if it could be shown that Data is secondarily possible then we have a problem</w:t>
      </w:r>
      <w:r w:rsidR="001305DC">
        <w:t>.</w:t>
      </w:r>
      <w:r>
        <w:t xml:space="preserve"> </w:t>
      </w:r>
      <w:r w:rsidR="00922DD3">
        <w:t xml:space="preserve">However, as I have previously argued, if we see brain states as patterns of synchronous neural firing (Brown 2006) we can accommodate some variation in the underlying </w:t>
      </w:r>
      <w:proofErr w:type="spellStart"/>
      <w:r w:rsidR="00922DD3">
        <w:t>realizers</w:t>
      </w:r>
      <w:proofErr w:type="spellEnd"/>
      <w:r w:rsidR="00922DD3">
        <w:t xml:space="preserve"> </w:t>
      </w:r>
      <w:proofErr w:type="gramStart"/>
      <w:r w:rsidR="00922DD3">
        <w:t>without  threatening</w:t>
      </w:r>
      <w:proofErr w:type="gramEnd"/>
      <w:r w:rsidR="00922DD3">
        <w:t xml:space="preserve"> the identity theory. As </w:t>
      </w:r>
      <w:proofErr w:type="spellStart"/>
      <w:r w:rsidR="00922DD3">
        <w:t>Polger</w:t>
      </w:r>
      <w:proofErr w:type="spellEnd"/>
      <w:r w:rsidR="00922DD3">
        <w:t xml:space="preserve"> says, we identify mental states with brain states not with molecular processes that occur in brains.  </w:t>
      </w:r>
    </w:p>
    <w:p w:rsidR="003D708F" w:rsidRPr="003D708F" w:rsidRDefault="003D708F" w:rsidP="007B7205">
      <w:pPr>
        <w:spacing w:line="480" w:lineRule="auto"/>
        <w:ind w:firstLine="720"/>
        <w:jc w:val="both"/>
      </w:pPr>
      <w:r w:rsidRPr="003D708F">
        <w:t xml:space="preserve">In </w:t>
      </w:r>
      <w:r w:rsidR="001305DC">
        <w:t xml:space="preserve">closing let us look at a more recent objection. In </w:t>
      </w:r>
      <w:r w:rsidRPr="003D708F">
        <w:t xml:space="preserve">a recent paper Ned Block </w:t>
      </w:r>
      <w:r w:rsidR="00FC301A">
        <w:t xml:space="preserve">(Block forthcoming) </w:t>
      </w:r>
      <w:r w:rsidRPr="003D708F">
        <w:t xml:space="preserve">targets the </w:t>
      </w:r>
      <w:proofErr w:type="spellStart"/>
      <w:r w:rsidRPr="003D708F">
        <w:t>Lewisian</w:t>
      </w:r>
      <w:proofErr w:type="spellEnd"/>
      <w:r w:rsidRPr="003D708F">
        <w:t xml:space="preserve"> view in</w:t>
      </w:r>
      <w:r w:rsidR="00DF0336">
        <w:t xml:space="preserve"> favor of the Place/Smart view and </w:t>
      </w:r>
      <w:r w:rsidRPr="003D708F">
        <w:t>argue</w:t>
      </w:r>
      <w:r w:rsidR="00DF0336">
        <w:t>s</w:t>
      </w:r>
      <w:r w:rsidRPr="003D708F">
        <w:t xml:space="preserve"> that the Lewis style view is incompatible with the metaphysics of </w:t>
      </w:r>
      <w:proofErr w:type="spellStart"/>
      <w:r w:rsidRPr="003D708F">
        <w:t>physicalism</w:t>
      </w:r>
      <w:proofErr w:type="spellEnd"/>
      <w:r w:rsidRPr="003D708F">
        <w:t xml:space="preserve">. Block distinguishes between ontology and metaphysics. Ontological </w:t>
      </w:r>
      <w:proofErr w:type="spellStart"/>
      <w:r w:rsidRPr="003D708F">
        <w:t>physicalism</w:t>
      </w:r>
      <w:proofErr w:type="spellEnd"/>
      <w:r w:rsidRPr="003D708F">
        <w:t xml:space="preserve"> is just the claim that in our ontological commitment to the existence of </w:t>
      </w:r>
      <w:proofErr w:type="spellStart"/>
      <w:r w:rsidRPr="003D708F">
        <w:t>qualia</w:t>
      </w:r>
      <w:proofErr w:type="spellEnd"/>
      <w:r w:rsidRPr="003D708F">
        <w:t xml:space="preserve"> we commit ourselves only to physical entities (ontological dualists deny this). Metaphysical </w:t>
      </w:r>
      <w:proofErr w:type="spellStart"/>
      <w:r w:rsidRPr="003D708F">
        <w:t>physicalism</w:t>
      </w:r>
      <w:proofErr w:type="spellEnd"/>
      <w:r w:rsidRPr="003D708F">
        <w:t xml:space="preserve"> is the claim that qualitative properties are essentially or metaphysically physical. That is to say that all qualitative properties will share the same physical properties i</w:t>
      </w:r>
      <w:r w:rsidR="00AA2E6D">
        <w:t>n so far as they are physical. T</w:t>
      </w:r>
      <w:r w:rsidRPr="003D708F">
        <w:t xml:space="preserve">he Lewis style </w:t>
      </w:r>
      <w:proofErr w:type="spellStart"/>
      <w:r w:rsidRPr="003D708F">
        <w:t>phy</w:t>
      </w:r>
      <w:r w:rsidR="001D418E">
        <w:t>sicalism</w:t>
      </w:r>
      <w:proofErr w:type="spellEnd"/>
      <w:r w:rsidR="001D418E">
        <w:t xml:space="preserve"> is ontologically but no</w:t>
      </w:r>
      <w:r w:rsidRPr="003D708F">
        <w:t xml:space="preserve">t metaphysically </w:t>
      </w:r>
      <w:proofErr w:type="spellStart"/>
      <w:r w:rsidRPr="003D708F">
        <w:t>physicalist</w:t>
      </w:r>
      <w:proofErr w:type="spellEnd"/>
      <w:r w:rsidRPr="003D708F">
        <w:t xml:space="preserve">. This is because </w:t>
      </w:r>
      <w:r w:rsidRPr="00AF788E">
        <w:rPr>
          <w:i/>
        </w:rPr>
        <w:t>as it happens</w:t>
      </w:r>
      <w:r w:rsidRPr="003D708F">
        <w:t xml:space="preserve"> all of the </w:t>
      </w:r>
      <w:proofErr w:type="spellStart"/>
      <w:r w:rsidRPr="003D708F">
        <w:t>realizers</w:t>
      </w:r>
      <w:proofErr w:type="spellEnd"/>
      <w:r w:rsidRPr="003D708F">
        <w:t xml:space="preserve"> of mental states are physical but metaphysically pain is a functional state for Lewis and only contingently a physical state. Metaphysical </w:t>
      </w:r>
      <w:proofErr w:type="spellStart"/>
      <w:r w:rsidRPr="003D708F">
        <w:t>physicalism</w:t>
      </w:r>
      <w:proofErr w:type="spellEnd"/>
      <w:r w:rsidRPr="003D708F">
        <w:t xml:space="preserve"> –real </w:t>
      </w:r>
      <w:proofErr w:type="spellStart"/>
      <w:r w:rsidRPr="003D708F">
        <w:t>physicalism</w:t>
      </w:r>
      <w:proofErr w:type="spellEnd"/>
      <w:r w:rsidRPr="003D708F">
        <w:t xml:space="preserve"> in Block’s view– says that it is not contingent but necessary that pain is a physical state.</w:t>
      </w:r>
    </w:p>
    <w:p w:rsidR="00D63429" w:rsidRDefault="003D708F" w:rsidP="007B7205">
      <w:pPr>
        <w:spacing w:line="480" w:lineRule="auto"/>
        <w:ind w:firstLine="720"/>
        <w:jc w:val="both"/>
      </w:pPr>
      <w:r w:rsidRPr="003D708F">
        <w:t xml:space="preserve">But if we adopt the 2-D framework and put the </w:t>
      </w:r>
      <w:proofErr w:type="spellStart"/>
      <w:r w:rsidRPr="003D708F">
        <w:t>Lewisian</w:t>
      </w:r>
      <w:proofErr w:type="spellEnd"/>
      <w:r w:rsidRPr="003D708F">
        <w:t xml:space="preserve"> claims in terms of it this is no longer a problem. On this kind of view the functional definition gives us the primary intension of ‘pain’ and the physical state gives us the secondary intension. This allows us to treat ‘pain’ just as we do ‘water’. ‘Water is H2O’ has a contingent primary intension and a necessary secondary intension. So we can update Lewis view that ‘pain’ isn’t a rigid designator as the claim that the primary intension of pain is contingent (just like ‘water’). ‘Pain’ is still a rigid designator in the ordinary sense that its secondary intension is necessary. In all worlds </w:t>
      </w:r>
      <w:proofErr w:type="gramStart"/>
      <w:r w:rsidRPr="003D708F">
        <w:t>considered</w:t>
      </w:r>
      <w:proofErr w:type="gramEnd"/>
      <w:r w:rsidRPr="003D708F">
        <w:t xml:space="preserve"> as counter-factual pain is a brain state. However we accommodate the conceivability of Martians and disembodied minds by noting that in some worlds considered as actual pain is not a brain state (just as in some worlds considered as actual water is not H2O). This does not threaten the identity; it is the usual way that theoretical identities work. Notice also that this 2-D identity theory is a metaphysical </w:t>
      </w:r>
      <w:proofErr w:type="spellStart"/>
      <w:r w:rsidRPr="003D708F">
        <w:t>physicalism</w:t>
      </w:r>
      <w:proofErr w:type="spellEnd"/>
      <w:r w:rsidRPr="003D708F">
        <w:t xml:space="preserve"> in Block’s sense and not merely an ontological </w:t>
      </w:r>
      <w:proofErr w:type="spellStart"/>
      <w:r w:rsidRPr="003D708F">
        <w:t>physicalism</w:t>
      </w:r>
      <w:proofErr w:type="spellEnd"/>
      <w:r w:rsidR="00ED795A">
        <w:t xml:space="preserve"> since it holds that the mind-brain identities have necessary secondary intensions</w:t>
      </w:r>
      <w:r w:rsidRPr="003D708F">
        <w:t>.</w:t>
      </w:r>
    </w:p>
    <w:p w:rsidR="00525975" w:rsidRDefault="00525975" w:rsidP="007B7205">
      <w:pPr>
        <w:spacing w:line="480" w:lineRule="auto"/>
        <w:ind w:firstLine="720"/>
        <w:jc w:val="both"/>
      </w:pPr>
    </w:p>
    <w:p w:rsidR="00E209B3" w:rsidRDefault="00E209B3" w:rsidP="007B7205">
      <w:pPr>
        <w:spacing w:line="480" w:lineRule="auto"/>
        <w:ind w:firstLine="720"/>
        <w:jc w:val="both"/>
      </w:pPr>
    </w:p>
    <w:p w:rsidR="00E209B3" w:rsidRDefault="00E209B3" w:rsidP="007B7205">
      <w:pPr>
        <w:spacing w:line="480" w:lineRule="auto"/>
        <w:jc w:val="both"/>
      </w:pPr>
    </w:p>
    <w:p w:rsidR="00E209B3" w:rsidRDefault="00E209B3"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D67262" w:rsidRDefault="00D67262" w:rsidP="007B7205">
      <w:pPr>
        <w:spacing w:line="480" w:lineRule="auto"/>
        <w:jc w:val="both"/>
      </w:pPr>
    </w:p>
    <w:p w:rsidR="003D708F" w:rsidRPr="00C23904" w:rsidRDefault="00D67262" w:rsidP="007B7205">
      <w:pPr>
        <w:spacing w:line="480" w:lineRule="auto"/>
        <w:jc w:val="both"/>
        <w:rPr>
          <w:b/>
        </w:rPr>
      </w:pPr>
      <w:r>
        <w:rPr>
          <w:b/>
        </w:rPr>
        <w:t>Work</w:t>
      </w:r>
      <w:r w:rsidR="00C073E5" w:rsidRPr="00C073E5">
        <w:rPr>
          <w:b/>
        </w:rPr>
        <w:t xml:space="preserve"> Cited:</w:t>
      </w:r>
    </w:p>
    <w:p w:rsidR="00E209B3" w:rsidRDefault="00FC301A" w:rsidP="007B7205">
      <w:pPr>
        <w:jc w:val="both"/>
      </w:pPr>
      <w:r>
        <w:t>Block</w:t>
      </w:r>
      <w:r w:rsidR="00C073E5">
        <w:t>, N.</w:t>
      </w:r>
      <w:r>
        <w:t xml:space="preserve"> (forthcoming) “Functional Reduction” in </w:t>
      </w:r>
      <w:r w:rsidR="00E209B3">
        <w:t xml:space="preserve">D. Sosa, </w:t>
      </w:r>
      <w:r w:rsidR="00E209B3" w:rsidRPr="00E209B3">
        <w:t xml:space="preserve">T. </w:t>
      </w:r>
      <w:proofErr w:type="spellStart"/>
      <w:r w:rsidR="00E209B3" w:rsidRPr="00E209B3">
        <w:t>Horgan</w:t>
      </w:r>
      <w:proofErr w:type="spellEnd"/>
      <w:r w:rsidR="00E209B3" w:rsidRPr="00E209B3">
        <w:t xml:space="preserve"> and M. </w:t>
      </w:r>
      <w:proofErr w:type="spellStart"/>
      <w:r w:rsidR="00E209B3" w:rsidRPr="00E209B3">
        <w:t>Sabatés</w:t>
      </w:r>
      <w:proofErr w:type="spellEnd"/>
      <w:r w:rsidR="00E209B3">
        <w:t xml:space="preserve"> (</w:t>
      </w:r>
      <w:proofErr w:type="spellStart"/>
      <w:r w:rsidR="00E209B3">
        <w:t>eds</w:t>
      </w:r>
      <w:proofErr w:type="spellEnd"/>
      <w:r w:rsidR="00E209B3">
        <w:t xml:space="preserve">) </w:t>
      </w:r>
      <w:proofErr w:type="spellStart"/>
      <w:r w:rsidR="00E209B3" w:rsidRPr="00C073E5">
        <w:rPr>
          <w:i/>
        </w:rPr>
        <w:t>Supervenience</w:t>
      </w:r>
      <w:proofErr w:type="spellEnd"/>
      <w:r w:rsidRPr="00C073E5">
        <w:rPr>
          <w:i/>
        </w:rPr>
        <w:t xml:space="preserve"> in Mind</w:t>
      </w:r>
      <w:r w:rsidR="00E209B3" w:rsidRPr="00C073E5">
        <w:rPr>
          <w:i/>
        </w:rPr>
        <w:t xml:space="preserve">: A Festschrift for </w:t>
      </w:r>
      <w:proofErr w:type="spellStart"/>
      <w:r w:rsidR="00E209B3" w:rsidRPr="00C073E5">
        <w:rPr>
          <w:i/>
        </w:rPr>
        <w:t>Jaegwon</w:t>
      </w:r>
      <w:proofErr w:type="spellEnd"/>
      <w:r w:rsidR="00E209B3" w:rsidRPr="00C073E5">
        <w:rPr>
          <w:i/>
        </w:rPr>
        <w:t xml:space="preserve"> Kim</w:t>
      </w:r>
      <w:r w:rsidR="00C073E5">
        <w:rPr>
          <w:i/>
        </w:rPr>
        <w:t>.</w:t>
      </w:r>
      <w:r w:rsidR="00E209B3">
        <w:t xml:space="preserve"> </w:t>
      </w:r>
      <w:r w:rsidR="00E209B3" w:rsidRPr="00E209B3">
        <w:t>Cambridge, Mass.: MIT Press</w:t>
      </w:r>
    </w:p>
    <w:p w:rsidR="00E209B3" w:rsidRDefault="00E209B3" w:rsidP="007B7205">
      <w:pPr>
        <w:jc w:val="both"/>
      </w:pPr>
    </w:p>
    <w:p w:rsidR="00C073E5" w:rsidRDefault="00C073E5" w:rsidP="007B7205">
      <w:pPr>
        <w:jc w:val="both"/>
      </w:pPr>
      <w:r>
        <w:t xml:space="preserve">Block, N. </w:t>
      </w:r>
      <w:r w:rsidR="00E209B3">
        <w:t xml:space="preserve">(2009) </w:t>
      </w:r>
      <w:r w:rsidR="00E209B3" w:rsidRPr="00E209B3">
        <w:t xml:space="preserve">“Comparing the Major Theories of Consciousness,” </w:t>
      </w:r>
      <w:r w:rsidR="00E209B3">
        <w:t xml:space="preserve">in </w:t>
      </w:r>
      <w:r w:rsidR="00E209B3" w:rsidRPr="00E209B3">
        <w:t>Michael</w:t>
      </w:r>
      <w:r w:rsidR="00E209B3">
        <w:t xml:space="preserve"> </w:t>
      </w:r>
      <w:proofErr w:type="spellStart"/>
      <w:r w:rsidR="00E209B3">
        <w:t>Gazzaniga</w:t>
      </w:r>
      <w:proofErr w:type="spellEnd"/>
      <w:r w:rsidR="00E209B3">
        <w:t xml:space="preserve"> (ed.) </w:t>
      </w:r>
      <w:r w:rsidR="00E209B3" w:rsidRPr="00C073E5">
        <w:rPr>
          <w:i/>
        </w:rPr>
        <w:t>The Cognitive Neurosciences IV</w:t>
      </w:r>
      <w:r>
        <w:t>.</w:t>
      </w:r>
      <w:r w:rsidR="00E209B3" w:rsidRPr="00E209B3">
        <w:t xml:space="preserve"> </w:t>
      </w:r>
      <w:r w:rsidR="00E209B3">
        <w:t xml:space="preserve">MIT Press </w:t>
      </w:r>
    </w:p>
    <w:p w:rsidR="0054420B" w:rsidRDefault="0054420B" w:rsidP="007B7205">
      <w:pPr>
        <w:jc w:val="both"/>
      </w:pPr>
    </w:p>
    <w:p w:rsidR="008A19A5" w:rsidRPr="008A19A5" w:rsidRDefault="008A19A5" w:rsidP="007B7205">
      <w:pPr>
        <w:jc w:val="both"/>
      </w:pPr>
      <w:r>
        <w:t xml:space="preserve">Brown, R. (2006). “What is a Brain State?” </w:t>
      </w:r>
      <w:r>
        <w:rPr>
          <w:i/>
        </w:rPr>
        <w:t>Philosophical Psychology</w:t>
      </w:r>
      <w:r>
        <w:t xml:space="preserve"> 19 (6): 729-742</w:t>
      </w:r>
    </w:p>
    <w:p w:rsidR="008A19A5" w:rsidRDefault="008A19A5" w:rsidP="007B7205">
      <w:pPr>
        <w:jc w:val="both"/>
      </w:pPr>
    </w:p>
    <w:p w:rsidR="0054420B" w:rsidRPr="00530E65" w:rsidRDefault="0054420B" w:rsidP="007B7205">
      <w:pPr>
        <w:jc w:val="both"/>
      </w:pPr>
      <w:r>
        <w:t>Brown, R. (2010) “</w:t>
      </w:r>
      <w:proofErr w:type="spellStart"/>
      <w:r>
        <w:t>Deprioritizing</w:t>
      </w:r>
      <w:proofErr w:type="spellEnd"/>
      <w:r>
        <w:t xml:space="preserve"> the A Priori Arguments against </w:t>
      </w:r>
      <w:proofErr w:type="spellStart"/>
      <w:r>
        <w:t>Physicalism</w:t>
      </w:r>
      <w:proofErr w:type="spellEnd"/>
      <w:r>
        <w:t xml:space="preserve">” </w:t>
      </w:r>
      <w:r w:rsidR="00530E65">
        <w:rPr>
          <w:i/>
        </w:rPr>
        <w:t>Journal of Consciousness Studies</w:t>
      </w:r>
      <w:r w:rsidR="00530E65">
        <w:t xml:space="preserve"> 17 (3-4): </w:t>
      </w:r>
      <w:r w:rsidR="008A19A5">
        <w:t>47-69</w:t>
      </w:r>
    </w:p>
    <w:p w:rsidR="00C23904" w:rsidRDefault="00C23904" w:rsidP="007B7205">
      <w:pPr>
        <w:jc w:val="both"/>
      </w:pPr>
    </w:p>
    <w:p w:rsidR="00C23904" w:rsidRDefault="00C23904" w:rsidP="007B7205">
      <w:pPr>
        <w:jc w:val="both"/>
      </w:pPr>
      <w:r>
        <w:t>Chalmers, D. (2008) “Two-Dimensional Semantics</w:t>
      </w:r>
      <w:r w:rsidR="00E75CB4">
        <w:t>” in</w:t>
      </w:r>
      <w:r>
        <w:t xml:space="preserve"> E. </w:t>
      </w:r>
      <w:proofErr w:type="spellStart"/>
      <w:r>
        <w:t>Lepore</w:t>
      </w:r>
      <w:proofErr w:type="spellEnd"/>
      <w:r>
        <w:t xml:space="preserve"> &amp; B. Smith, (</w:t>
      </w:r>
      <w:proofErr w:type="spellStart"/>
      <w:r>
        <w:t>eds</w:t>
      </w:r>
      <w:proofErr w:type="spellEnd"/>
      <w:r>
        <w:t xml:space="preserve">) </w:t>
      </w:r>
      <w:r w:rsidRPr="00C23904">
        <w:rPr>
          <w:i/>
        </w:rPr>
        <w:t>Oxford Handbook of the Philosophy of Language</w:t>
      </w:r>
      <w:r>
        <w:t xml:space="preserve">. </w:t>
      </w:r>
      <w:proofErr w:type="gramStart"/>
      <w:r>
        <w:t>Oxford U</w:t>
      </w:r>
      <w:r w:rsidR="00E75CB4">
        <w:t>niversity Press.</w:t>
      </w:r>
      <w:proofErr w:type="gramEnd"/>
    </w:p>
    <w:p w:rsidR="00C073E5" w:rsidRDefault="00C073E5" w:rsidP="007B7205">
      <w:pPr>
        <w:jc w:val="both"/>
      </w:pPr>
    </w:p>
    <w:p w:rsidR="003274E2" w:rsidRPr="003274E2" w:rsidRDefault="003274E2" w:rsidP="003274E2">
      <w:pPr>
        <w:jc w:val="both"/>
      </w:pPr>
      <w:r w:rsidRPr="003274E2">
        <w:t xml:space="preserve">Fodor, J. A. (1974). "Special Sciences (Or: The Disunity of Science as a Working </w:t>
      </w:r>
    </w:p>
    <w:p w:rsidR="003274E2" w:rsidRDefault="003274E2" w:rsidP="003274E2">
      <w:pPr>
        <w:jc w:val="both"/>
      </w:pPr>
      <w:r w:rsidRPr="003274E2">
        <w:t xml:space="preserve">Hypothesis)." </w:t>
      </w:r>
      <w:proofErr w:type="spellStart"/>
      <w:proofErr w:type="gramStart"/>
      <w:r w:rsidRPr="003274E2">
        <w:rPr>
          <w:i/>
        </w:rPr>
        <w:t>Synthese</w:t>
      </w:r>
      <w:proofErr w:type="spellEnd"/>
      <w:r w:rsidRPr="003274E2">
        <w:t xml:space="preserve"> </w:t>
      </w:r>
      <w:r w:rsidRPr="003274E2">
        <w:rPr>
          <w:b/>
          <w:bCs/>
        </w:rPr>
        <w:t>28</w:t>
      </w:r>
      <w:r w:rsidRPr="003274E2">
        <w:t>: 97-115.</w:t>
      </w:r>
      <w:proofErr w:type="gramEnd"/>
      <w:r w:rsidRPr="003274E2">
        <w:t xml:space="preserve"> </w:t>
      </w:r>
    </w:p>
    <w:p w:rsidR="003274E2" w:rsidRDefault="003274E2" w:rsidP="003274E2">
      <w:pPr>
        <w:jc w:val="both"/>
      </w:pPr>
    </w:p>
    <w:p w:rsidR="00C073E5" w:rsidRDefault="00C073E5" w:rsidP="007B7205">
      <w:pPr>
        <w:jc w:val="both"/>
      </w:pPr>
      <w:r w:rsidRPr="00C073E5">
        <w:t xml:space="preserve">Hill, C.S. (1991). </w:t>
      </w:r>
      <w:r w:rsidRPr="00C073E5">
        <w:rPr>
          <w:i/>
        </w:rPr>
        <w:t>Sensations: A Defense of Type Materialism.</w:t>
      </w:r>
      <w:r w:rsidRPr="00C073E5">
        <w:t xml:space="preserve"> Cambridge: Cambridge University Press.</w:t>
      </w:r>
    </w:p>
    <w:p w:rsidR="003274E2" w:rsidRDefault="003274E2" w:rsidP="007B7205">
      <w:pPr>
        <w:jc w:val="both"/>
      </w:pPr>
    </w:p>
    <w:p w:rsidR="003274E2" w:rsidRDefault="003274E2" w:rsidP="007B7205">
      <w:pPr>
        <w:jc w:val="both"/>
      </w:pPr>
      <w:proofErr w:type="spellStart"/>
      <w:proofErr w:type="gramStart"/>
      <w:r w:rsidRPr="003274E2">
        <w:t>Kripke</w:t>
      </w:r>
      <w:proofErr w:type="spellEnd"/>
      <w:r w:rsidRPr="003274E2">
        <w:t>, S. A. (1980).</w:t>
      </w:r>
      <w:proofErr w:type="gramEnd"/>
      <w:r w:rsidRPr="003274E2">
        <w:t xml:space="preserve"> </w:t>
      </w:r>
      <w:proofErr w:type="gramStart"/>
      <w:r w:rsidRPr="003274E2">
        <w:rPr>
          <w:i/>
        </w:rPr>
        <w:t>Naming and Necessity</w:t>
      </w:r>
      <w:r w:rsidRPr="003274E2">
        <w:t>.</w:t>
      </w:r>
      <w:proofErr w:type="gramEnd"/>
      <w:r w:rsidRPr="003274E2">
        <w:t xml:space="preserve"> </w:t>
      </w:r>
      <w:proofErr w:type="gramStart"/>
      <w:r w:rsidRPr="003274E2">
        <w:t xml:space="preserve">Cambridge, Harvard </w:t>
      </w:r>
      <w:proofErr w:type="spellStart"/>
      <w:r w:rsidRPr="003274E2">
        <w:t>Univ</w:t>
      </w:r>
      <w:proofErr w:type="spellEnd"/>
      <w:r w:rsidRPr="003274E2">
        <w:t xml:space="preserve"> Pr.</w:t>
      </w:r>
      <w:proofErr w:type="gramEnd"/>
    </w:p>
    <w:p w:rsidR="00C073E5" w:rsidRDefault="00C073E5" w:rsidP="007B7205">
      <w:pPr>
        <w:jc w:val="both"/>
      </w:pPr>
    </w:p>
    <w:p w:rsidR="000F4158" w:rsidRDefault="000F4158" w:rsidP="007B7205">
      <w:pPr>
        <w:jc w:val="both"/>
      </w:pPr>
      <w:r>
        <w:t>Perry, J.</w:t>
      </w:r>
      <w:r w:rsidR="00F56AE9">
        <w:t xml:space="preserve"> (2001)</w:t>
      </w:r>
      <w:r>
        <w:t xml:space="preserve"> </w:t>
      </w:r>
      <w:r>
        <w:rPr>
          <w:i/>
        </w:rPr>
        <w:t>Knowledge, Possibility, and Consciousness</w:t>
      </w:r>
      <w:r>
        <w:t xml:space="preserve"> MA: MIT Press.</w:t>
      </w:r>
    </w:p>
    <w:p w:rsidR="00C073E5" w:rsidRPr="000F4158" w:rsidRDefault="00C073E5" w:rsidP="007B7205">
      <w:pPr>
        <w:jc w:val="both"/>
      </w:pPr>
    </w:p>
    <w:p w:rsidR="00C073E5" w:rsidRPr="00C073E5" w:rsidRDefault="00C073E5" w:rsidP="007B7205">
      <w:pPr>
        <w:jc w:val="both"/>
        <w:rPr>
          <w:i/>
        </w:rPr>
      </w:pPr>
      <w:proofErr w:type="spellStart"/>
      <w:r>
        <w:t>Polger</w:t>
      </w:r>
      <w:proofErr w:type="spellEnd"/>
      <w:r>
        <w:t xml:space="preserve">, T. (forthcoming) “Are Sensations Still Brain Processes?” </w:t>
      </w:r>
      <w:r w:rsidRPr="00C073E5">
        <w:rPr>
          <w:i/>
        </w:rPr>
        <w:t>Philosophical Psychology</w:t>
      </w:r>
    </w:p>
    <w:p w:rsidR="00C073E5" w:rsidRDefault="00C073E5" w:rsidP="007B7205">
      <w:pPr>
        <w:jc w:val="both"/>
      </w:pPr>
    </w:p>
    <w:p w:rsidR="00AA2E6D" w:rsidRDefault="00C073E5" w:rsidP="007B7205">
      <w:pPr>
        <w:jc w:val="both"/>
      </w:pPr>
      <w:proofErr w:type="spellStart"/>
      <w:r w:rsidRPr="00C073E5">
        <w:t>Polger</w:t>
      </w:r>
      <w:proofErr w:type="spellEnd"/>
      <w:r w:rsidRPr="00C073E5">
        <w:t xml:space="preserve">, T. (2004). </w:t>
      </w:r>
      <w:r w:rsidRPr="00C073E5">
        <w:rPr>
          <w:i/>
        </w:rPr>
        <w:t>Natural Minds</w:t>
      </w:r>
      <w:r w:rsidRPr="00C073E5">
        <w:t>. Cambridge, MA: MIT Press.</w:t>
      </w:r>
    </w:p>
    <w:p w:rsidR="00E75CB4" w:rsidRDefault="00E75CB4" w:rsidP="007B7205">
      <w:pPr>
        <w:jc w:val="both"/>
      </w:pPr>
    </w:p>
    <w:p w:rsidR="00E75CB4" w:rsidRPr="00E75CB4" w:rsidRDefault="00E75CB4" w:rsidP="007B7205">
      <w:pPr>
        <w:jc w:val="both"/>
      </w:pPr>
      <w:r>
        <w:t>Putnam, H. “The Nature of Mental States” in Rosenthal, D. (</w:t>
      </w:r>
      <w:proofErr w:type="spellStart"/>
      <w:r>
        <w:t>ed</w:t>
      </w:r>
      <w:proofErr w:type="spellEnd"/>
      <w:r>
        <w:t xml:space="preserve">) </w:t>
      </w:r>
      <w:r>
        <w:rPr>
          <w:i/>
        </w:rPr>
        <w:t>The Nature of Mind</w:t>
      </w:r>
      <w:r>
        <w:t xml:space="preserve"> Oxford</w:t>
      </w:r>
    </w:p>
    <w:p w:rsidR="00AA2E6D" w:rsidRDefault="00AA2E6D" w:rsidP="007B7205">
      <w:pPr>
        <w:jc w:val="both"/>
      </w:pPr>
    </w:p>
    <w:p w:rsidR="005C3717" w:rsidRPr="00AA2E6D" w:rsidRDefault="00AA2E6D" w:rsidP="007B7205">
      <w:pPr>
        <w:jc w:val="both"/>
      </w:pPr>
      <w:r>
        <w:t xml:space="preserve">Rosenthal, D. (2005) </w:t>
      </w:r>
      <w:r>
        <w:rPr>
          <w:i/>
        </w:rPr>
        <w:t>Consciousness and Mind</w:t>
      </w:r>
      <w:r>
        <w:t xml:space="preserve"> OUP</w:t>
      </w:r>
    </w:p>
    <w:sectPr w:rsidR="005C3717" w:rsidRPr="00AA2E6D" w:rsidSect="005C3717">
      <w:footerReference w:type="even" r:id="rId5"/>
      <w:footerReference w:type="default" r:id="rId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4AA" w:rsidRDefault="001F1545" w:rsidP="007B7205">
    <w:pPr>
      <w:pStyle w:val="Footer"/>
      <w:framePr w:wrap="around" w:vAnchor="text" w:hAnchor="margin" w:xAlign="right" w:y="1"/>
      <w:rPr>
        <w:rStyle w:val="PageNumber"/>
      </w:rPr>
    </w:pPr>
    <w:r>
      <w:rPr>
        <w:rStyle w:val="PageNumber"/>
      </w:rPr>
      <w:fldChar w:fldCharType="begin"/>
    </w:r>
    <w:r w:rsidR="003524AA">
      <w:rPr>
        <w:rStyle w:val="PageNumber"/>
      </w:rPr>
      <w:instrText xml:space="preserve">PAGE  </w:instrText>
    </w:r>
    <w:r>
      <w:rPr>
        <w:rStyle w:val="PageNumber"/>
      </w:rPr>
      <w:fldChar w:fldCharType="end"/>
    </w:r>
  </w:p>
  <w:p w:rsidR="003524AA" w:rsidRDefault="003524AA" w:rsidP="007B7205">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24AA" w:rsidRDefault="001F1545" w:rsidP="007B7205">
    <w:pPr>
      <w:pStyle w:val="Footer"/>
      <w:framePr w:wrap="around" w:vAnchor="text" w:hAnchor="margin" w:xAlign="right" w:y="1"/>
      <w:rPr>
        <w:rStyle w:val="PageNumber"/>
      </w:rPr>
    </w:pPr>
    <w:r>
      <w:rPr>
        <w:rStyle w:val="PageNumber"/>
      </w:rPr>
      <w:fldChar w:fldCharType="begin"/>
    </w:r>
    <w:r w:rsidR="003524AA">
      <w:rPr>
        <w:rStyle w:val="PageNumber"/>
      </w:rPr>
      <w:instrText xml:space="preserve">PAGE  </w:instrText>
    </w:r>
    <w:r>
      <w:rPr>
        <w:rStyle w:val="PageNumber"/>
      </w:rPr>
      <w:fldChar w:fldCharType="separate"/>
    </w:r>
    <w:r w:rsidR="00082B97">
      <w:rPr>
        <w:rStyle w:val="PageNumber"/>
        <w:noProof/>
      </w:rPr>
      <w:t>1</w:t>
    </w:r>
    <w:r>
      <w:rPr>
        <w:rStyle w:val="PageNumber"/>
      </w:rPr>
      <w:fldChar w:fldCharType="end"/>
    </w:r>
  </w:p>
  <w:p w:rsidR="003524AA" w:rsidRDefault="003524AA" w:rsidP="007B7205">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3524AA" w:rsidRPr="001D09E2" w:rsidRDefault="003524AA" w:rsidP="006303D6">
      <w:pPr>
        <w:pStyle w:val="FootnoteText"/>
        <w:rPr>
          <w:sz w:val="20"/>
        </w:rPr>
      </w:pPr>
      <w:r w:rsidRPr="001D09E2">
        <w:rPr>
          <w:rStyle w:val="FootnoteReference"/>
          <w:sz w:val="20"/>
        </w:rPr>
        <w:footnoteRef/>
      </w:r>
      <w:r w:rsidRPr="001D09E2">
        <w:rPr>
          <w:sz w:val="20"/>
        </w:rPr>
        <w:t xml:space="preserve"> </w:t>
      </w:r>
      <w:r w:rsidRPr="001D09E2">
        <w:rPr>
          <w:rFonts w:ascii="Times" w:hAnsi="Times"/>
          <w:sz w:val="20"/>
        </w:rPr>
        <w:t xml:space="preserve">Rosenthal often does make the case in terms of wine tasting, see for </w:t>
      </w:r>
      <w:r>
        <w:rPr>
          <w:rFonts w:ascii="Times" w:hAnsi="Times"/>
          <w:sz w:val="20"/>
        </w:rPr>
        <w:t>instance p. 1887-188</w:t>
      </w:r>
    </w:p>
  </w:footnote>
  <w:footnote w:id="0">
    <w:p w:rsidR="003524AA" w:rsidRDefault="003524AA" w:rsidP="006303D6">
      <w:pPr>
        <w:pStyle w:val="FootnoteText"/>
      </w:pPr>
      <w:r>
        <w:rPr>
          <w:rStyle w:val="FootnoteReference"/>
        </w:rPr>
        <w:footnoteRef/>
      </w:r>
      <w:r>
        <w:t xml:space="preserve"> </w:t>
      </w:r>
      <w:r w:rsidRPr="00477AF4">
        <w:rPr>
          <w:sz w:val="20"/>
        </w:rPr>
        <w:t>One could do this, for instance, by claiming that applying the concepts has a causal effect on the first order experiences while denying that phenomenology is constituted by conceptual application.</w:t>
      </w:r>
    </w:p>
  </w:footnote>
  <w:footnote w:id="1">
    <w:p w:rsidR="003524AA" w:rsidRDefault="003524AA" w:rsidP="006303D6">
      <w:pPr>
        <w:pStyle w:val="FootnoteText"/>
      </w:pPr>
      <w:r>
        <w:rPr>
          <w:rStyle w:val="FootnoteReference"/>
        </w:rPr>
        <w:footnoteRef/>
      </w:r>
      <w:r>
        <w:t xml:space="preserve"> </w:t>
      </w:r>
      <w:r w:rsidRPr="001D09E2">
        <w:rPr>
          <w:sz w:val="20"/>
        </w:rPr>
        <w:t xml:space="preserve">Rosenthal makes this subtraction argument in “Explaining Consciousness” page 415, which appears in the Chalmers anthology.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D708F"/>
    <w:rsid w:val="00082B97"/>
    <w:rsid w:val="000B1BD5"/>
    <w:rsid w:val="000F4158"/>
    <w:rsid w:val="00121955"/>
    <w:rsid w:val="001305DC"/>
    <w:rsid w:val="00130F77"/>
    <w:rsid w:val="001827F7"/>
    <w:rsid w:val="001D418E"/>
    <w:rsid w:val="001F1545"/>
    <w:rsid w:val="002C217B"/>
    <w:rsid w:val="002F18CF"/>
    <w:rsid w:val="003274E2"/>
    <w:rsid w:val="00352192"/>
    <w:rsid w:val="003524AA"/>
    <w:rsid w:val="0037383A"/>
    <w:rsid w:val="003D708F"/>
    <w:rsid w:val="00486B50"/>
    <w:rsid w:val="004A2B51"/>
    <w:rsid w:val="004C221E"/>
    <w:rsid w:val="004C3AE9"/>
    <w:rsid w:val="004D6229"/>
    <w:rsid w:val="00525975"/>
    <w:rsid w:val="00530E65"/>
    <w:rsid w:val="005372E5"/>
    <w:rsid w:val="00541458"/>
    <w:rsid w:val="0054420B"/>
    <w:rsid w:val="00566E4C"/>
    <w:rsid w:val="005C3717"/>
    <w:rsid w:val="006303D6"/>
    <w:rsid w:val="0069245E"/>
    <w:rsid w:val="006A445C"/>
    <w:rsid w:val="006E6789"/>
    <w:rsid w:val="006F0B09"/>
    <w:rsid w:val="007B7205"/>
    <w:rsid w:val="008A19A5"/>
    <w:rsid w:val="008A72BE"/>
    <w:rsid w:val="008E574D"/>
    <w:rsid w:val="008F6321"/>
    <w:rsid w:val="009174D0"/>
    <w:rsid w:val="00922DD3"/>
    <w:rsid w:val="00935C3A"/>
    <w:rsid w:val="009B752F"/>
    <w:rsid w:val="00AA0CFC"/>
    <w:rsid w:val="00AA2E6D"/>
    <w:rsid w:val="00AB1041"/>
    <w:rsid w:val="00AD3267"/>
    <w:rsid w:val="00AF788E"/>
    <w:rsid w:val="00B6437E"/>
    <w:rsid w:val="00BB0946"/>
    <w:rsid w:val="00C073E5"/>
    <w:rsid w:val="00C23904"/>
    <w:rsid w:val="00CB2544"/>
    <w:rsid w:val="00CD1677"/>
    <w:rsid w:val="00D31964"/>
    <w:rsid w:val="00D3789E"/>
    <w:rsid w:val="00D63429"/>
    <w:rsid w:val="00D67262"/>
    <w:rsid w:val="00D935F3"/>
    <w:rsid w:val="00DF0336"/>
    <w:rsid w:val="00E209B3"/>
    <w:rsid w:val="00E75CB4"/>
    <w:rsid w:val="00EA73BE"/>
    <w:rsid w:val="00EC7E87"/>
    <w:rsid w:val="00ED795A"/>
    <w:rsid w:val="00F56AE9"/>
    <w:rsid w:val="00F86F1F"/>
    <w:rsid w:val="00FC301A"/>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142A9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rsid w:val="003D708F"/>
    <w:rPr>
      <w:color w:val="0000FF" w:themeColor="hyperlink"/>
      <w:u w:val="single"/>
    </w:rPr>
  </w:style>
  <w:style w:type="character" w:styleId="FollowedHyperlink">
    <w:name w:val="FollowedHyperlink"/>
    <w:basedOn w:val="DefaultParagraphFont"/>
    <w:rsid w:val="00FC301A"/>
    <w:rPr>
      <w:color w:val="800080" w:themeColor="followedHyperlink"/>
      <w:u w:val="single"/>
    </w:rPr>
  </w:style>
  <w:style w:type="paragraph" w:styleId="Footer">
    <w:name w:val="footer"/>
    <w:basedOn w:val="Normal"/>
    <w:link w:val="FooterChar"/>
    <w:rsid w:val="007B7205"/>
    <w:pPr>
      <w:tabs>
        <w:tab w:val="center" w:pos="4320"/>
        <w:tab w:val="right" w:pos="8640"/>
      </w:tabs>
    </w:pPr>
  </w:style>
  <w:style w:type="character" w:customStyle="1" w:styleId="FooterChar">
    <w:name w:val="Footer Char"/>
    <w:basedOn w:val="DefaultParagraphFont"/>
    <w:link w:val="Footer"/>
    <w:rsid w:val="007B7205"/>
  </w:style>
  <w:style w:type="character" w:styleId="PageNumber">
    <w:name w:val="page number"/>
    <w:basedOn w:val="DefaultParagraphFont"/>
    <w:rsid w:val="007B7205"/>
  </w:style>
  <w:style w:type="paragraph" w:styleId="FootnoteText">
    <w:name w:val="footnote text"/>
    <w:basedOn w:val="Normal"/>
    <w:link w:val="FootnoteTextChar"/>
    <w:rsid w:val="006303D6"/>
    <w:rPr>
      <w:rFonts w:ascii="Cambria" w:eastAsia="Cambria" w:hAnsi="Cambria" w:cs="Times New Roman"/>
    </w:rPr>
  </w:style>
  <w:style w:type="character" w:customStyle="1" w:styleId="FootnoteTextChar">
    <w:name w:val="Footnote Text Char"/>
    <w:basedOn w:val="DefaultParagraphFont"/>
    <w:link w:val="FootnoteText"/>
    <w:rsid w:val="006303D6"/>
    <w:rPr>
      <w:rFonts w:ascii="Cambria" w:eastAsia="Cambria" w:hAnsi="Cambria" w:cs="Times New Roman"/>
    </w:rPr>
  </w:style>
  <w:style w:type="character" w:styleId="FootnoteReference">
    <w:name w:val="footnote reference"/>
    <w:basedOn w:val="DefaultParagraphFont"/>
    <w:rsid w:val="006303D6"/>
    <w:rPr>
      <w:vertAlign w:val="superscript"/>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4" Type="http://schemas.openxmlformats.org/officeDocument/2006/relationships/footnotes" Target="footnotes.xml"/><Relationship Id="rId5" Type="http://schemas.openxmlformats.org/officeDocument/2006/relationships/footer" Target="footer1.xml"/><Relationship Id="rId7"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6"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1143</TotalTime>
  <Pages>12</Pages>
  <Words>3347</Words>
  <Characters>16426</Characters>
  <Application>Microsoft Macintosh Word</Application>
  <DocSecurity>0</DocSecurity>
  <Lines>288</Lines>
  <Paragraphs>35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19771</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richard brown</cp:lastModifiedBy>
  <cp:revision>23</cp:revision>
  <dcterms:created xsi:type="dcterms:W3CDTF">2010-08-23T21:26:00Z</dcterms:created>
  <dcterms:modified xsi:type="dcterms:W3CDTF">2010-09-03T20:02:00Z</dcterms:modified>
  <cp:category/>
</cp:coreProperties>
</file>